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9DCBB" w14:textId="77777777" w:rsidR="003D10D0" w:rsidRDefault="003D10D0">
      <w:pPr>
        <w:pStyle w:val="Title"/>
        <w:rPr>
          <w:rFonts w:ascii="Aptos" w:hAnsi="Aptos"/>
          <w:sz w:val="44"/>
          <w:szCs w:val="44"/>
        </w:rPr>
      </w:pPr>
    </w:p>
    <w:p w14:paraId="46C769FC" w14:textId="64AB0280" w:rsidR="005F7696" w:rsidRPr="00934C83" w:rsidRDefault="00AA721A">
      <w:pPr>
        <w:pStyle w:val="Title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Office Note Sales Take Center Stage</w:t>
      </w:r>
    </w:p>
    <w:p w14:paraId="6B39B3D9" w14:textId="675F6039" w:rsidR="005F7696" w:rsidRPr="003451F3" w:rsidRDefault="68C32E47">
      <w:pPr>
        <w:rPr>
          <w:rFonts w:ascii="Aptos" w:hAnsi="Aptos"/>
          <w:i/>
          <w:iCs/>
        </w:rPr>
      </w:pPr>
      <w:r w:rsidRPr="003451F3">
        <w:rPr>
          <w:rFonts w:ascii="Aptos" w:hAnsi="Aptos"/>
          <w:i/>
          <w:iCs/>
        </w:rPr>
        <w:t>By Chris Doma</w:t>
      </w:r>
      <w:r w:rsidR="009E6C4E">
        <w:rPr>
          <w:rFonts w:ascii="Aptos" w:hAnsi="Aptos"/>
          <w:i/>
          <w:iCs/>
        </w:rPr>
        <w:t>n</w:t>
      </w:r>
      <w:r w:rsidRPr="003451F3">
        <w:rPr>
          <w:rFonts w:ascii="Aptos" w:hAnsi="Aptos"/>
          <w:i/>
          <w:iCs/>
        </w:rPr>
        <w:t xml:space="preserve"> | </w:t>
      </w:r>
      <w:r w:rsidR="009E6C4E">
        <w:rPr>
          <w:rFonts w:ascii="Aptos" w:hAnsi="Aptos"/>
          <w:i/>
          <w:iCs/>
        </w:rPr>
        <w:t xml:space="preserve">Managing Partner, </w:t>
      </w:r>
      <w:r w:rsidRPr="003451F3">
        <w:rPr>
          <w:rFonts w:ascii="Aptos" w:hAnsi="Aptos"/>
          <w:i/>
          <w:iCs/>
        </w:rPr>
        <w:t xml:space="preserve">Oxygen </w:t>
      </w:r>
      <w:r w:rsidR="466AE0F6" w:rsidRPr="003451F3">
        <w:rPr>
          <w:rFonts w:ascii="Aptos" w:hAnsi="Aptos"/>
          <w:i/>
          <w:iCs/>
        </w:rPr>
        <w:t>Real Estate</w:t>
      </w:r>
    </w:p>
    <w:p w14:paraId="06BDFEBC" w14:textId="422A3154" w:rsidR="00747091" w:rsidRPr="00FA3391" w:rsidRDefault="00797FBA" w:rsidP="00747091">
      <w:pPr>
        <w:rPr>
          <w:rFonts w:ascii="Aptos" w:hAnsi="Aptos"/>
        </w:rPr>
      </w:pPr>
      <w:r>
        <w:rPr>
          <w:rFonts w:ascii="Aptos" w:hAnsi="Aptos"/>
        </w:rPr>
        <w:t>At Oxygen, we focus intently on the commercial offic</w:t>
      </w:r>
      <w:r w:rsidR="008E3C47">
        <w:rPr>
          <w:rFonts w:ascii="Aptos" w:hAnsi="Aptos"/>
        </w:rPr>
        <w:t>e sector</w:t>
      </w:r>
      <w:r w:rsidR="004F5126">
        <w:rPr>
          <w:rFonts w:ascii="Aptos" w:hAnsi="Aptos"/>
        </w:rPr>
        <w:t xml:space="preserve">, and if you </w:t>
      </w:r>
      <w:r w:rsidR="00747091" w:rsidRPr="00FA3391">
        <w:rPr>
          <w:rFonts w:ascii="Aptos" w:hAnsi="Aptos"/>
        </w:rPr>
        <w:t xml:space="preserve">want to understand the real story in </w:t>
      </w:r>
      <w:r w:rsidR="006821D2">
        <w:rPr>
          <w:rFonts w:ascii="Aptos" w:hAnsi="Aptos"/>
        </w:rPr>
        <w:t xml:space="preserve">the </w:t>
      </w:r>
      <w:r w:rsidR="004F5126">
        <w:rPr>
          <w:rFonts w:ascii="Aptos" w:hAnsi="Aptos"/>
        </w:rPr>
        <w:t>market today</w:t>
      </w:r>
      <w:r w:rsidR="00747091" w:rsidRPr="00FA3391">
        <w:rPr>
          <w:rFonts w:ascii="Aptos" w:hAnsi="Aptos"/>
        </w:rPr>
        <w:t>, don’t just watch leasing data. Watch the note sale pipeline</w:t>
      </w:r>
      <w:r w:rsidR="00E275E3">
        <w:rPr>
          <w:rFonts w:ascii="Aptos" w:hAnsi="Aptos"/>
        </w:rPr>
        <w:t xml:space="preserve">, </w:t>
      </w:r>
      <w:r w:rsidR="00747091" w:rsidRPr="00FA3391">
        <w:rPr>
          <w:rFonts w:ascii="Aptos" w:hAnsi="Aptos"/>
        </w:rPr>
        <w:t xml:space="preserve">because it’s where </w:t>
      </w:r>
      <w:r w:rsidR="004F5126">
        <w:rPr>
          <w:rFonts w:ascii="Aptos" w:hAnsi="Aptos"/>
        </w:rPr>
        <w:t xml:space="preserve">we’re seeing the opportunity. </w:t>
      </w:r>
    </w:p>
    <w:p w14:paraId="69EF9832" w14:textId="7EFA6B36" w:rsidR="005F7696" w:rsidRPr="0046625A" w:rsidRDefault="000E6A73">
      <w:pPr>
        <w:pStyle w:val="Heading2"/>
        <w:rPr>
          <w:rFonts w:ascii="Aptos" w:hAnsi="Aptos"/>
        </w:rPr>
      </w:pPr>
      <w:r>
        <w:rPr>
          <w:rFonts w:ascii="Aptos" w:hAnsi="Aptos"/>
        </w:rPr>
        <w:t>Banks Have Exited Office Lending</w:t>
      </w:r>
      <w:r w:rsidR="001D62E8">
        <w:rPr>
          <w:rFonts w:ascii="Aptos" w:hAnsi="Aptos"/>
        </w:rPr>
        <w:t xml:space="preserve"> (and</w:t>
      </w:r>
      <w:r w:rsidR="00B14C3C">
        <w:rPr>
          <w:rFonts w:ascii="Aptos" w:hAnsi="Aptos"/>
        </w:rPr>
        <w:t xml:space="preserve"> Are Unloading)</w:t>
      </w:r>
    </w:p>
    <w:p w14:paraId="27AEA0F0" w14:textId="33D0CF77" w:rsidR="005F7696" w:rsidRDefault="00AE5794">
      <w:pPr>
        <w:rPr>
          <w:rFonts w:ascii="Aptos" w:hAnsi="Aptos"/>
        </w:rPr>
      </w:pPr>
      <w:r w:rsidRPr="00FA3391">
        <w:rPr>
          <w:rFonts w:ascii="Aptos" w:hAnsi="Aptos"/>
        </w:rPr>
        <w:t xml:space="preserve">Amid quantitative tightening and persistent market uncertainty, many traditional lenders are pulling back fast from office </w:t>
      </w:r>
      <w:r w:rsidRPr="00B633A6">
        <w:rPr>
          <w:rFonts w:ascii="Aptos" w:hAnsi="Aptos"/>
        </w:rPr>
        <w:t xml:space="preserve">sector exposure. </w:t>
      </w:r>
      <w:r w:rsidR="00B633A6" w:rsidRPr="00B633A6">
        <w:rPr>
          <w:rFonts w:ascii="Aptos" w:hAnsi="Aptos"/>
        </w:rPr>
        <w:t>Bank OZK, on</w:t>
      </w:r>
      <w:r w:rsidR="00B633A6">
        <w:rPr>
          <w:rFonts w:ascii="Aptos" w:hAnsi="Aptos"/>
        </w:rPr>
        <w:t>e of the most prominent</w:t>
      </w:r>
      <w:r w:rsidR="00B633A6" w:rsidRPr="00B633A6">
        <w:rPr>
          <w:rFonts w:ascii="Aptos" w:hAnsi="Aptos"/>
        </w:rPr>
        <w:t xml:space="preserve"> CRE lender</w:t>
      </w:r>
      <w:r w:rsidR="00B633A6">
        <w:rPr>
          <w:rFonts w:ascii="Aptos" w:hAnsi="Aptos"/>
        </w:rPr>
        <w:t xml:space="preserve">s </w:t>
      </w:r>
      <w:r w:rsidR="00FF6593">
        <w:rPr>
          <w:rFonts w:ascii="Aptos" w:hAnsi="Aptos"/>
        </w:rPr>
        <w:t>of the past decade</w:t>
      </w:r>
      <w:r w:rsidR="00B633A6" w:rsidRPr="00B633A6">
        <w:rPr>
          <w:rFonts w:ascii="Aptos" w:hAnsi="Aptos"/>
        </w:rPr>
        <w:t xml:space="preserve">, has halved its office loan portfolio. </w:t>
      </w:r>
      <w:r w:rsidRPr="00FA3391">
        <w:rPr>
          <w:rFonts w:ascii="Aptos" w:hAnsi="Aptos"/>
        </w:rPr>
        <w:t xml:space="preserve">With balance sheet pressure mounting, </w:t>
      </w:r>
      <w:r w:rsidR="0070261B">
        <w:rPr>
          <w:rFonts w:ascii="Aptos" w:hAnsi="Aptos"/>
        </w:rPr>
        <w:t xml:space="preserve">banks are not just </w:t>
      </w:r>
      <w:r w:rsidR="003E3750">
        <w:rPr>
          <w:rFonts w:ascii="Aptos" w:hAnsi="Aptos"/>
        </w:rPr>
        <w:t xml:space="preserve">spurning new originations, they’re also significantly selling down </w:t>
      </w:r>
      <w:proofErr w:type="spellStart"/>
      <w:r w:rsidR="003E3750">
        <w:rPr>
          <w:rFonts w:ascii="Aptos" w:hAnsi="Aptos"/>
        </w:rPr>
        <w:t>their</w:t>
      </w:r>
      <w:proofErr w:type="spellEnd"/>
      <w:r w:rsidR="003E3750">
        <w:rPr>
          <w:rFonts w:ascii="Aptos" w:hAnsi="Aptos"/>
        </w:rPr>
        <w:t xml:space="preserve"> exposure of both performing and non-performing </w:t>
      </w:r>
      <w:r w:rsidR="00F04EC4">
        <w:rPr>
          <w:rFonts w:ascii="Aptos" w:hAnsi="Aptos"/>
        </w:rPr>
        <w:t>office loans</w:t>
      </w:r>
      <w:r w:rsidRPr="00FA3391">
        <w:rPr>
          <w:rFonts w:ascii="Aptos" w:hAnsi="Aptos"/>
        </w:rPr>
        <w:t>. That’s why many of the deals we’re tracking are note sales</w:t>
      </w:r>
      <w:r w:rsidR="0070261B">
        <w:rPr>
          <w:rFonts w:ascii="Aptos" w:hAnsi="Aptos"/>
        </w:rPr>
        <w:t xml:space="preserve">, </w:t>
      </w:r>
      <w:r w:rsidRPr="00FA3391">
        <w:rPr>
          <w:rFonts w:ascii="Aptos" w:hAnsi="Aptos"/>
        </w:rPr>
        <w:t>not property listings.</w:t>
      </w:r>
    </w:p>
    <w:p w14:paraId="7160EACE" w14:textId="649C78B3" w:rsidR="005F7696" w:rsidRPr="0046625A" w:rsidRDefault="00281505">
      <w:pPr>
        <w:pStyle w:val="Heading2"/>
        <w:rPr>
          <w:rFonts w:ascii="Aptos" w:hAnsi="Aptos"/>
        </w:rPr>
      </w:pPr>
      <w:r>
        <w:rPr>
          <w:rFonts w:ascii="Aptos" w:hAnsi="Aptos"/>
        </w:rPr>
        <w:t>Note Sales</w:t>
      </w:r>
      <w:r w:rsidR="009E29AE">
        <w:rPr>
          <w:rFonts w:ascii="Aptos" w:hAnsi="Aptos"/>
        </w:rPr>
        <w:t xml:space="preserve">: Why They Matter and </w:t>
      </w:r>
      <w:r w:rsidR="00E93313">
        <w:rPr>
          <w:rFonts w:ascii="Aptos" w:hAnsi="Aptos"/>
        </w:rPr>
        <w:t>Why You Need a Path to Title</w:t>
      </w:r>
    </w:p>
    <w:p w14:paraId="2E1CD5F3" w14:textId="66E7EB82" w:rsidR="005F7696" w:rsidRPr="0046625A" w:rsidRDefault="00F07390">
      <w:pPr>
        <w:rPr>
          <w:rFonts w:ascii="Aptos" w:hAnsi="Aptos"/>
        </w:rPr>
      </w:pPr>
      <w:r w:rsidRPr="00FA3391">
        <w:rPr>
          <w:rFonts w:ascii="Aptos" w:hAnsi="Aptos"/>
        </w:rPr>
        <w:t>These note sales often come with steep discounts to par</w:t>
      </w:r>
      <w:r>
        <w:rPr>
          <w:rFonts w:ascii="Aptos" w:hAnsi="Aptos"/>
        </w:rPr>
        <w:t xml:space="preserve">, </w:t>
      </w:r>
      <w:r w:rsidRPr="00FA3391">
        <w:rPr>
          <w:rFonts w:ascii="Aptos" w:hAnsi="Aptos"/>
        </w:rPr>
        <w:t xml:space="preserve">but unlocking value often depends on clearing title. </w:t>
      </w:r>
      <w:r w:rsidR="00160865" w:rsidRPr="00C81E69">
        <w:rPr>
          <w:rFonts w:ascii="Aptos" w:hAnsi="Aptos"/>
        </w:rPr>
        <w:t>Often the only clean title route is a deed-in-lieu of foreclosure. That allows the investor to take control without protracted legal battles or lingering ownership claims.</w:t>
      </w:r>
      <w:r w:rsidR="00254D68">
        <w:rPr>
          <w:rFonts w:ascii="Aptos" w:hAnsi="Aptos"/>
        </w:rPr>
        <w:t xml:space="preserve"> </w:t>
      </w:r>
      <w:r w:rsidR="00160865" w:rsidRPr="00C81E69">
        <w:rPr>
          <w:rFonts w:ascii="Aptos" w:hAnsi="Aptos"/>
        </w:rPr>
        <w:t xml:space="preserve">Deeds in lieu transfer title voluntarily from borrower to lender, helping mitigate cumbersome foreclosure processes, costly legal risks, and potential junior lien issues. </w:t>
      </w:r>
      <w:r w:rsidRPr="00FA3391">
        <w:rPr>
          <w:rFonts w:ascii="Aptos" w:hAnsi="Aptos"/>
        </w:rPr>
        <w:t>Without a clear title exit, even a deeply discounted note has limited practical value</w:t>
      </w:r>
      <w:r w:rsidR="00531B9E">
        <w:rPr>
          <w:rFonts w:ascii="Aptos" w:hAnsi="Aptos"/>
        </w:rPr>
        <w:t>, particularly if it’s non-performing</w:t>
      </w:r>
      <w:r w:rsidRPr="00FA3391">
        <w:rPr>
          <w:rFonts w:ascii="Aptos" w:hAnsi="Aptos"/>
        </w:rPr>
        <w:t>.</w:t>
      </w:r>
      <w:r>
        <w:rPr>
          <w:rFonts w:ascii="Aptos" w:hAnsi="Aptos"/>
        </w:rPr>
        <w:t xml:space="preserve"> </w:t>
      </w:r>
    </w:p>
    <w:p w14:paraId="3E9BA9C7" w14:textId="44A572CC" w:rsidR="005F7696" w:rsidRPr="0046625A" w:rsidRDefault="005C7529">
      <w:pPr>
        <w:pStyle w:val="Heading2"/>
        <w:rPr>
          <w:rFonts w:ascii="Aptos" w:hAnsi="Aptos"/>
        </w:rPr>
      </w:pPr>
      <w:r>
        <w:rPr>
          <w:rFonts w:ascii="Aptos" w:hAnsi="Aptos"/>
        </w:rPr>
        <w:t>Sometimes They’re Great Covered Land Plays</w:t>
      </w:r>
    </w:p>
    <w:p w14:paraId="59A2C0E2" w14:textId="34F106DD" w:rsidR="00104330" w:rsidRDefault="00104330" w:rsidP="00104330">
      <w:pPr>
        <w:rPr>
          <w:rFonts w:ascii="Aptos" w:hAnsi="Aptos"/>
        </w:rPr>
      </w:pPr>
      <w:r>
        <w:rPr>
          <w:rFonts w:ascii="Aptos" w:hAnsi="Aptos"/>
        </w:rPr>
        <w:t>I</w:t>
      </w:r>
      <w:r w:rsidRPr="00FA3391">
        <w:rPr>
          <w:rFonts w:ascii="Aptos" w:hAnsi="Aptos"/>
        </w:rPr>
        <w:t>n adaptive-use-friendly cities, depressed office pricing plus conversion incentives transform deal economics almost overnight.</w:t>
      </w:r>
      <w:r>
        <w:rPr>
          <w:rFonts w:ascii="Aptos" w:hAnsi="Aptos"/>
        </w:rPr>
        <w:t xml:space="preserve"> </w:t>
      </w:r>
      <w:r w:rsidRPr="00FA3391">
        <w:rPr>
          <w:rFonts w:ascii="Aptos" w:hAnsi="Aptos"/>
        </w:rPr>
        <w:t>Take Seattle, for example. In February 2025, the City Council passed legislation allowing for a deferral of the 10.3% sales and use tax on construction costs for office-to-residential conversion projects.</w:t>
      </w:r>
      <w:r>
        <w:rPr>
          <w:rFonts w:ascii="Aptos" w:hAnsi="Aptos"/>
        </w:rPr>
        <w:t xml:space="preserve"> </w:t>
      </w:r>
      <w:r w:rsidRPr="00FA3391">
        <w:rPr>
          <w:rFonts w:ascii="Aptos" w:hAnsi="Aptos"/>
        </w:rPr>
        <w:t>If the converted units remain affordable (at least 10% for households at or below 80% AMI) for 10 years, the tax is permanently waived.</w:t>
      </w:r>
    </w:p>
    <w:p w14:paraId="74CD0DFB" w14:textId="6086940E" w:rsidR="005F7696" w:rsidRPr="0046625A" w:rsidRDefault="00104330">
      <w:pPr>
        <w:rPr>
          <w:rFonts w:ascii="Aptos" w:hAnsi="Aptos"/>
        </w:rPr>
      </w:pPr>
      <w:r w:rsidRPr="00FA3391">
        <w:rPr>
          <w:rFonts w:ascii="Aptos" w:hAnsi="Aptos"/>
        </w:rPr>
        <w:t>Seattle is also offering zoning flexibility</w:t>
      </w:r>
      <w:r w:rsidR="00C33094">
        <w:rPr>
          <w:rFonts w:ascii="Aptos" w:hAnsi="Aptos"/>
        </w:rPr>
        <w:t xml:space="preserve">, </w:t>
      </w:r>
      <w:r w:rsidRPr="00FA3391">
        <w:rPr>
          <w:rFonts w:ascii="Aptos" w:hAnsi="Aptos"/>
        </w:rPr>
        <w:t>allowing minor vertical expansions and easing design requirements to support conversions in downtown zones.</w:t>
      </w:r>
      <w:r w:rsidR="00CF72C7">
        <w:rPr>
          <w:rFonts w:ascii="Aptos" w:hAnsi="Aptos"/>
        </w:rPr>
        <w:t xml:space="preserve"> </w:t>
      </w:r>
      <w:r w:rsidRPr="00FA3391">
        <w:rPr>
          <w:rFonts w:ascii="Aptos" w:hAnsi="Aptos"/>
        </w:rPr>
        <w:t>These types of incentives shift the economics of a note-sale “covered land” strategy from theoretical to compelling.</w:t>
      </w:r>
    </w:p>
    <w:p w14:paraId="799E5C74" w14:textId="5C768558" w:rsidR="005F7696" w:rsidRPr="0046625A" w:rsidRDefault="001403F3">
      <w:pPr>
        <w:pStyle w:val="Heading2"/>
        <w:rPr>
          <w:rFonts w:ascii="Aptos" w:hAnsi="Aptos"/>
        </w:rPr>
      </w:pPr>
      <w:r>
        <w:rPr>
          <w:rFonts w:ascii="Aptos" w:hAnsi="Aptos"/>
        </w:rPr>
        <w:t xml:space="preserve">The Reality Beyond </w:t>
      </w:r>
      <w:r w:rsidR="00163B9D">
        <w:rPr>
          <w:rFonts w:ascii="Aptos" w:hAnsi="Aptos"/>
        </w:rPr>
        <w:t>Hopes for a Fed Rate Cut</w:t>
      </w:r>
    </w:p>
    <w:p w14:paraId="35856D67" w14:textId="77777777" w:rsidR="0072404B" w:rsidRDefault="001819C5">
      <w:pPr>
        <w:rPr>
          <w:rFonts w:ascii="Aptos" w:hAnsi="Aptos"/>
        </w:rPr>
      </w:pPr>
      <w:r w:rsidRPr="00FA3391">
        <w:rPr>
          <w:rFonts w:ascii="Aptos" w:hAnsi="Aptos"/>
        </w:rPr>
        <w:t>Even though markets are pricing in a 93%+ chance of a Fed rate cut at the September meeting</w:t>
      </w:r>
      <w:r w:rsidR="00476A9E">
        <w:rPr>
          <w:rFonts w:ascii="Aptos" w:hAnsi="Aptos"/>
        </w:rPr>
        <w:t xml:space="preserve"> and </w:t>
      </w:r>
      <w:r w:rsidR="000544B6">
        <w:rPr>
          <w:rFonts w:ascii="Aptos" w:hAnsi="Aptos"/>
        </w:rPr>
        <w:t xml:space="preserve">now </w:t>
      </w:r>
      <w:r w:rsidR="00CC1AB2">
        <w:rPr>
          <w:rFonts w:ascii="Aptos" w:hAnsi="Aptos"/>
        </w:rPr>
        <w:t>over</w:t>
      </w:r>
      <w:r w:rsidR="000544B6">
        <w:rPr>
          <w:rFonts w:ascii="Aptos" w:hAnsi="Aptos"/>
        </w:rPr>
        <w:t xml:space="preserve"> a</w:t>
      </w:r>
      <w:r w:rsidR="00CC1AB2">
        <w:rPr>
          <w:rFonts w:ascii="Aptos" w:hAnsi="Aptos"/>
        </w:rPr>
        <w:t xml:space="preserve"> 50% chance of </w:t>
      </w:r>
      <w:r w:rsidR="002E7027">
        <w:rPr>
          <w:rFonts w:ascii="Aptos" w:hAnsi="Aptos"/>
        </w:rPr>
        <w:t xml:space="preserve">additional cuts in </w:t>
      </w:r>
      <w:r w:rsidR="0010019C">
        <w:rPr>
          <w:rFonts w:ascii="Aptos" w:hAnsi="Aptos"/>
        </w:rPr>
        <w:t>October and December</w:t>
      </w:r>
      <w:r w:rsidRPr="00FA3391">
        <w:rPr>
          <w:rFonts w:ascii="Aptos" w:hAnsi="Aptos"/>
        </w:rPr>
        <w:t>,</w:t>
      </w:r>
      <w:r>
        <w:rPr>
          <w:rFonts w:ascii="Aptos" w:hAnsi="Aptos"/>
        </w:rPr>
        <w:t xml:space="preserve"> </w:t>
      </w:r>
      <w:r w:rsidRPr="00FA3391">
        <w:rPr>
          <w:rFonts w:ascii="Aptos" w:hAnsi="Aptos"/>
        </w:rPr>
        <w:t xml:space="preserve">that </w:t>
      </w:r>
    </w:p>
    <w:p w14:paraId="014F3113" w14:textId="77777777" w:rsidR="0072404B" w:rsidRDefault="0072404B">
      <w:pPr>
        <w:rPr>
          <w:rFonts w:ascii="Aptos" w:hAnsi="Aptos"/>
        </w:rPr>
      </w:pPr>
    </w:p>
    <w:p w14:paraId="4B4DBB29" w14:textId="5AC2E16E" w:rsidR="005F7696" w:rsidRDefault="001819C5">
      <w:pPr>
        <w:rPr>
          <w:rFonts w:ascii="Aptos" w:hAnsi="Aptos"/>
        </w:rPr>
      </w:pPr>
      <w:r w:rsidRPr="00FA3391">
        <w:rPr>
          <w:rFonts w:ascii="Aptos" w:hAnsi="Aptos"/>
        </w:rPr>
        <w:t>doesn’t quickly reverse bank caution or reopen new lending channels for</w:t>
      </w:r>
      <w:r w:rsidR="000544B6">
        <w:rPr>
          <w:rFonts w:ascii="Aptos" w:hAnsi="Aptos"/>
        </w:rPr>
        <w:t xml:space="preserve"> </w:t>
      </w:r>
      <w:r w:rsidRPr="00FA3391">
        <w:rPr>
          <w:rFonts w:ascii="Aptos" w:hAnsi="Aptos"/>
        </w:rPr>
        <w:t>office assets. The note sale market remains a function of structural risk aversion and</w:t>
      </w:r>
      <w:r>
        <w:rPr>
          <w:rFonts w:ascii="Aptos" w:hAnsi="Aptos"/>
        </w:rPr>
        <w:t xml:space="preserve"> </w:t>
      </w:r>
      <w:r w:rsidRPr="00FA3391">
        <w:rPr>
          <w:rFonts w:ascii="Aptos" w:hAnsi="Aptos"/>
        </w:rPr>
        <w:t>regulatory pressure, not just cost of capital.</w:t>
      </w:r>
    </w:p>
    <w:p w14:paraId="1BB91CF7" w14:textId="6C98DB24" w:rsidR="00D061E7" w:rsidRPr="0046625A" w:rsidRDefault="008C3741" w:rsidP="00D061E7">
      <w:pPr>
        <w:pStyle w:val="Heading2"/>
        <w:rPr>
          <w:rFonts w:ascii="Aptos" w:hAnsi="Aptos"/>
        </w:rPr>
      </w:pPr>
      <w:r>
        <w:rPr>
          <w:rFonts w:ascii="Aptos" w:hAnsi="Aptos"/>
        </w:rPr>
        <w:t>Where Oxygen is Focused Right Now</w:t>
      </w:r>
    </w:p>
    <w:p w14:paraId="4471CBCD" w14:textId="77777777" w:rsidR="00A80A1F" w:rsidRDefault="00A80A1F" w:rsidP="00D061E7">
      <w:pPr>
        <w:rPr>
          <w:rFonts w:ascii="Aptos" w:hAnsi="Aptos"/>
        </w:rPr>
      </w:pPr>
      <w:r w:rsidRPr="00FA3391">
        <w:rPr>
          <w:rFonts w:ascii="Aptos" w:hAnsi="Aptos"/>
        </w:rPr>
        <w:t>At Oxygen, we’re seeing one of the most compelling investment landscapes in years:</w:t>
      </w:r>
    </w:p>
    <w:p w14:paraId="2C9D4775" w14:textId="77777777" w:rsidR="00A80A1F" w:rsidRDefault="00A80A1F" w:rsidP="00A80A1F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80A1F">
        <w:rPr>
          <w:rFonts w:ascii="Aptos" w:hAnsi="Aptos"/>
        </w:rPr>
        <w:t>We strategically acquire office notes where debt is discounted and there’s a clear path to title recovery.</w:t>
      </w:r>
    </w:p>
    <w:p w14:paraId="5B8EEE1A" w14:textId="77777777" w:rsidR="00A80A1F" w:rsidRDefault="00A80A1F" w:rsidP="00A80A1F">
      <w:pPr>
        <w:pStyle w:val="ListParagraph"/>
        <w:numPr>
          <w:ilvl w:val="0"/>
          <w:numId w:val="10"/>
        </w:numPr>
        <w:rPr>
          <w:rFonts w:ascii="Aptos" w:hAnsi="Aptos"/>
        </w:rPr>
      </w:pPr>
      <w:r>
        <w:rPr>
          <w:rFonts w:ascii="Aptos" w:hAnsi="Aptos"/>
        </w:rPr>
        <w:t>I</w:t>
      </w:r>
      <w:r w:rsidRPr="00A80A1F">
        <w:rPr>
          <w:rFonts w:ascii="Aptos" w:hAnsi="Aptos"/>
        </w:rPr>
        <w:t>n conversion-friendly locales like Seattle, we layer in financial modeling for conversion optionality and incentive capture.</w:t>
      </w:r>
    </w:p>
    <w:p w14:paraId="49AA0CC7" w14:textId="162FF40F" w:rsidR="00D061E7" w:rsidRPr="00A80A1F" w:rsidRDefault="00A80A1F" w:rsidP="00A80A1F">
      <w:pPr>
        <w:pStyle w:val="ListParagraph"/>
        <w:numPr>
          <w:ilvl w:val="0"/>
          <w:numId w:val="10"/>
        </w:numPr>
        <w:rPr>
          <w:rFonts w:ascii="Aptos" w:hAnsi="Aptos"/>
        </w:rPr>
      </w:pPr>
      <w:r w:rsidRPr="00A80A1F">
        <w:rPr>
          <w:rFonts w:ascii="Aptos" w:hAnsi="Aptos"/>
        </w:rPr>
        <w:t>We underwrite defensively, focusing on durable fundamentals</w:t>
      </w:r>
      <w:r w:rsidR="00196D9F">
        <w:rPr>
          <w:rFonts w:ascii="Aptos" w:hAnsi="Aptos"/>
        </w:rPr>
        <w:t xml:space="preserve"> like </w:t>
      </w:r>
      <w:r w:rsidRPr="00A80A1F">
        <w:rPr>
          <w:rFonts w:ascii="Aptos" w:hAnsi="Aptos"/>
        </w:rPr>
        <w:t>walkable locations, adaptive-use potential, and solid tenant base.</w:t>
      </w:r>
    </w:p>
    <w:sectPr w:rsidR="00D061E7" w:rsidRPr="00A80A1F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56FA2" w14:textId="77777777" w:rsidR="00FB720F" w:rsidRDefault="00FB720F" w:rsidP="003451F3">
      <w:pPr>
        <w:spacing w:after="0" w:line="240" w:lineRule="auto"/>
      </w:pPr>
      <w:r>
        <w:separator/>
      </w:r>
    </w:p>
  </w:endnote>
  <w:endnote w:type="continuationSeparator" w:id="0">
    <w:p w14:paraId="515CD02C" w14:textId="77777777" w:rsidR="00FB720F" w:rsidRDefault="00FB720F" w:rsidP="0034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9E34" w14:textId="77777777" w:rsidR="00FB720F" w:rsidRDefault="00FB720F" w:rsidP="003451F3">
      <w:pPr>
        <w:spacing w:after="0" w:line="240" w:lineRule="auto"/>
      </w:pPr>
      <w:r>
        <w:separator/>
      </w:r>
    </w:p>
  </w:footnote>
  <w:footnote w:type="continuationSeparator" w:id="0">
    <w:p w14:paraId="3CA82DDB" w14:textId="77777777" w:rsidR="00FB720F" w:rsidRDefault="00FB720F" w:rsidP="0034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CEC48" w14:textId="1DAF2B47" w:rsidR="003451F3" w:rsidRDefault="003D10D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8474EC" wp14:editId="3B3F0251">
          <wp:simplePos x="0" y="0"/>
          <wp:positionH relativeFrom="margin">
            <wp:posOffset>0</wp:posOffset>
          </wp:positionH>
          <wp:positionV relativeFrom="margin">
            <wp:posOffset>-641350</wp:posOffset>
          </wp:positionV>
          <wp:extent cx="1133475" cy="733425"/>
          <wp:effectExtent l="0" t="0" r="9525" b="9525"/>
          <wp:wrapSquare wrapText="bothSides"/>
          <wp:docPr id="6830107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A53ED8F" w14:textId="4DF72765" w:rsidR="0073486A" w:rsidRPr="00BE6F51" w:rsidRDefault="003D10D0">
    <w:pPr>
      <w:pStyle w:val="Header"/>
      <w:rPr>
        <w:rFonts w:ascii="Montserrat" w:hAnsi="Montserrat"/>
        <w:b/>
        <w:bCs/>
        <w:color w:val="17365D" w:themeColor="text2" w:themeShade="BF"/>
        <w:sz w:val="32"/>
        <w:szCs w:val="32"/>
      </w:rPr>
    </w:pPr>
    <w:r w:rsidRPr="00BE6F51">
      <w:rPr>
        <w:rFonts w:ascii="Montserrat" w:hAnsi="Montserrat"/>
        <w:b/>
        <w:bCs/>
        <w:color w:val="17365D" w:themeColor="text2" w:themeShade="BF"/>
        <w:sz w:val="32"/>
        <w:szCs w:val="32"/>
      </w:rPr>
      <w:t>OXYGEN REAL ESTATE</w:t>
    </w:r>
  </w:p>
  <w:p w14:paraId="0D442DE4" w14:textId="77777777" w:rsidR="0073486A" w:rsidRDefault="00734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E556EC"/>
    <w:multiLevelType w:val="hybridMultilevel"/>
    <w:tmpl w:val="DB304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60990">
    <w:abstractNumId w:val="8"/>
  </w:num>
  <w:num w:numId="2" w16cid:durableId="1770420053">
    <w:abstractNumId w:val="6"/>
  </w:num>
  <w:num w:numId="3" w16cid:durableId="1593393093">
    <w:abstractNumId w:val="5"/>
  </w:num>
  <w:num w:numId="4" w16cid:durableId="2102094842">
    <w:abstractNumId w:val="4"/>
  </w:num>
  <w:num w:numId="5" w16cid:durableId="1303074065">
    <w:abstractNumId w:val="7"/>
  </w:num>
  <w:num w:numId="6" w16cid:durableId="655836577">
    <w:abstractNumId w:val="3"/>
  </w:num>
  <w:num w:numId="7" w16cid:durableId="1177230912">
    <w:abstractNumId w:val="2"/>
  </w:num>
  <w:num w:numId="8" w16cid:durableId="213195602">
    <w:abstractNumId w:val="1"/>
  </w:num>
  <w:num w:numId="9" w16cid:durableId="1491213150">
    <w:abstractNumId w:val="0"/>
  </w:num>
  <w:num w:numId="10" w16cid:durableId="494154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4B6"/>
    <w:rsid w:val="0006063C"/>
    <w:rsid w:val="000A4913"/>
    <w:rsid w:val="000E6A73"/>
    <w:rsid w:val="0010019C"/>
    <w:rsid w:val="00104330"/>
    <w:rsid w:val="00114F70"/>
    <w:rsid w:val="00130C99"/>
    <w:rsid w:val="001403F3"/>
    <w:rsid w:val="00140547"/>
    <w:rsid w:val="0015074B"/>
    <w:rsid w:val="00160865"/>
    <w:rsid w:val="00163B9D"/>
    <w:rsid w:val="001819C5"/>
    <w:rsid w:val="00196D9F"/>
    <w:rsid w:val="001D0804"/>
    <w:rsid w:val="001D13C7"/>
    <w:rsid w:val="001D62E8"/>
    <w:rsid w:val="001F268B"/>
    <w:rsid w:val="00205D5B"/>
    <w:rsid w:val="00254D68"/>
    <w:rsid w:val="00281505"/>
    <w:rsid w:val="0029639D"/>
    <w:rsid w:val="002E7027"/>
    <w:rsid w:val="00326F90"/>
    <w:rsid w:val="003451F3"/>
    <w:rsid w:val="003D10D0"/>
    <w:rsid w:val="003E3750"/>
    <w:rsid w:val="00457B90"/>
    <w:rsid w:val="004602DC"/>
    <w:rsid w:val="0046625A"/>
    <w:rsid w:val="00476A9E"/>
    <w:rsid w:val="004A3422"/>
    <w:rsid w:val="004F5126"/>
    <w:rsid w:val="00531B9E"/>
    <w:rsid w:val="005C7529"/>
    <w:rsid w:val="005F68C2"/>
    <w:rsid w:val="005F7696"/>
    <w:rsid w:val="00622F12"/>
    <w:rsid w:val="006821D2"/>
    <w:rsid w:val="0070261B"/>
    <w:rsid w:val="0072404B"/>
    <w:rsid w:val="0073486A"/>
    <w:rsid w:val="00747091"/>
    <w:rsid w:val="0075352D"/>
    <w:rsid w:val="00797FBA"/>
    <w:rsid w:val="007B07F5"/>
    <w:rsid w:val="008C3741"/>
    <w:rsid w:val="008E3C47"/>
    <w:rsid w:val="00934C83"/>
    <w:rsid w:val="009E29AE"/>
    <w:rsid w:val="009E6C4E"/>
    <w:rsid w:val="00A80A1F"/>
    <w:rsid w:val="00A84D9D"/>
    <w:rsid w:val="00AA1D8D"/>
    <w:rsid w:val="00AA721A"/>
    <w:rsid w:val="00AE5794"/>
    <w:rsid w:val="00B14C3C"/>
    <w:rsid w:val="00B400BE"/>
    <w:rsid w:val="00B47730"/>
    <w:rsid w:val="00B633A6"/>
    <w:rsid w:val="00BD47DB"/>
    <w:rsid w:val="00BE1BD3"/>
    <w:rsid w:val="00BE6F51"/>
    <w:rsid w:val="00BF57EE"/>
    <w:rsid w:val="00C33094"/>
    <w:rsid w:val="00C9316E"/>
    <w:rsid w:val="00CB0664"/>
    <w:rsid w:val="00CC1AB2"/>
    <w:rsid w:val="00CE340A"/>
    <w:rsid w:val="00CF72C7"/>
    <w:rsid w:val="00D061E7"/>
    <w:rsid w:val="00D31E32"/>
    <w:rsid w:val="00DA0FCE"/>
    <w:rsid w:val="00E2238F"/>
    <w:rsid w:val="00E275E3"/>
    <w:rsid w:val="00E93313"/>
    <w:rsid w:val="00F04EC4"/>
    <w:rsid w:val="00F07390"/>
    <w:rsid w:val="00F95DE0"/>
    <w:rsid w:val="00FB720F"/>
    <w:rsid w:val="00FC693F"/>
    <w:rsid w:val="00FF6593"/>
    <w:rsid w:val="06264EA9"/>
    <w:rsid w:val="0A8388C3"/>
    <w:rsid w:val="0FF6A68C"/>
    <w:rsid w:val="128AB131"/>
    <w:rsid w:val="1723D450"/>
    <w:rsid w:val="18A7ACEB"/>
    <w:rsid w:val="194B3FBC"/>
    <w:rsid w:val="19D19690"/>
    <w:rsid w:val="19DC6105"/>
    <w:rsid w:val="1BB07612"/>
    <w:rsid w:val="1D6751D8"/>
    <w:rsid w:val="222918BE"/>
    <w:rsid w:val="22EA5B0A"/>
    <w:rsid w:val="28A14FBD"/>
    <w:rsid w:val="28CB0F09"/>
    <w:rsid w:val="2C1988E7"/>
    <w:rsid w:val="3A3FBFD2"/>
    <w:rsid w:val="3B2EA56E"/>
    <w:rsid w:val="3CAA5798"/>
    <w:rsid w:val="466AE0F6"/>
    <w:rsid w:val="4719B6C2"/>
    <w:rsid w:val="48907D91"/>
    <w:rsid w:val="4AED1161"/>
    <w:rsid w:val="507469B7"/>
    <w:rsid w:val="53587846"/>
    <w:rsid w:val="5533A026"/>
    <w:rsid w:val="5604A418"/>
    <w:rsid w:val="5C211E86"/>
    <w:rsid w:val="5C62EADB"/>
    <w:rsid w:val="629CE867"/>
    <w:rsid w:val="639E3406"/>
    <w:rsid w:val="642B2CA3"/>
    <w:rsid w:val="68737238"/>
    <w:rsid w:val="68C32E47"/>
    <w:rsid w:val="692EA93E"/>
    <w:rsid w:val="6B662E13"/>
    <w:rsid w:val="6F002876"/>
    <w:rsid w:val="6F0FB205"/>
    <w:rsid w:val="6FDF7661"/>
    <w:rsid w:val="77EBAAE5"/>
    <w:rsid w:val="7923A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3CC02E"/>
  <w14:defaultImageDpi w14:val="300"/>
  <w15:docId w15:val="{2A7C36E3-8F6F-4C0B-B254-809F1208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481</Words>
  <Characters>2744</Characters>
  <Application>Microsoft Office Word</Application>
  <DocSecurity>0</DocSecurity>
  <Lines>22</Lines>
  <Paragraphs>6</Paragraphs>
  <ScaleCrop>false</ScaleCrop>
  <Manager/>
  <Company/>
  <LinksUpToDate>false</LinksUpToDate>
  <CharactersWithSpaces>3219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Doman</cp:lastModifiedBy>
  <cp:revision>46</cp:revision>
  <dcterms:created xsi:type="dcterms:W3CDTF">2025-08-13T01:23:00Z</dcterms:created>
  <dcterms:modified xsi:type="dcterms:W3CDTF">2025-08-13T14:19:00Z</dcterms:modified>
  <cp:category/>
</cp:coreProperties>
</file>